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1077758339724,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7714704830)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«Гидропроект-Алтай»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1042202161540,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2224085117)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«Ундина»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1083906004181,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3907062340)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«СМУ-Дондорстрой»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1066164171050,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6164248080)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Открытого акционерного общества «Донаэродорстрой»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1026103158730,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6163002069)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«ЛенТехСтрой»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1089847353672,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7841394780)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1072646002110,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2624030930)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Строительно-Торговая Компания «Стройсити»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1075405029952,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5405360240)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1027802761370,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7805129754)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