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города Воронежа «Водоканал Воронежа»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1033600002215,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3665034781)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«ССТ (системы современного телевидения)»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1022201381300,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2223040480)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ТехКонтрольСтрой» муниципального образования «Гвардейский район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1103925022794,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3916501667)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«Современные строительные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1083925013480,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«ВОДГЕО»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1047200556094,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7204081378)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«ДиЮрССтрой»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1077746369414,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7734559645)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Строительно-Производственная Компания «АрмСибСтрой»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1085401022827,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5401317847)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«ГОРЫ»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1097847138894,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7807343312)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