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0619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488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НОСТ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8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ф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3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струм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79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3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5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2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ий институт Промзерн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24549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1984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Форпост Балтики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07689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315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4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Шевченко Сергея Василь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72357278000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570014934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4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