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янва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Исне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88675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80053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ВИРАГ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34001720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01878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34-3442018786-29122009-029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ВИРАГ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34001720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01878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 муниципального образования Успенский район проектно-сметное бюро «Успенско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323319555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5700525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3-2357005255-31032010-173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Муниципальное унитарное предприятие муниципального образования Успенский район проектно-сметное бюро «Успенско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3233195556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35700525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умель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49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82320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98-7814382320-28122009-027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умель-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4912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4382320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янва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