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45/2010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июня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«Техстрой»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1057811285575,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7816368271)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«БетонСпецСтрой»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1076670038345,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6670196543)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«Водоснабжение и водоотведение»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1077761625985,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7715671257)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«Иснес»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1027808867558,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7818005330)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«РегионСпецСтрой»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1089848039412,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7814423840)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«Корпорация ЛенАэроПроект»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1077847635546,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7839367404)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«Землеустройство»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1084703005342,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4703107019)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Открытое акционерное общество «Управляющая компания Сибирьэнерго»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1085406020677,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5406442619)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«СтандартПроект»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1082329000159,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2329022322)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Индивидуального предпринимателя Копычины-Лоренса Сергея Максимовича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ОГРНИП 305390611500011,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390603930481)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«СевероЗападнаяПроектнаяГруппа»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1097847323716,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7842419155)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«Аспект»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1083906003708,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3907062269)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«Институт экономики города и управления инвестициями в строительстве»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1073905012631,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3904087184)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«КУБ-систем»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1047796117203,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7734509147)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«Проект 21 Век»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1087746599148,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7734584560)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3.7.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«Строительство и Архитектура»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1085406033877,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5406501504)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3.8.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«Сибпроекткомп»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1077203053586,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7204116052)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18 июня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