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1081103000846,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1103043329)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«С-Дон-2010»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1106195006158,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6163103525)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1102225010986,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2221181366)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«Научно-Производственное Предприятие «Контэк»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1037808016146,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7804164393)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«Свежий ветер СВ»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1086670007918,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6670204730)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«ГлавСпецСтрой»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1105401002574,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5401334708)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«Евроазия»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1082635004980,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2634080419)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«Молния»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1026101887206,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6142000092)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