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рла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504451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401157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З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0348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18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мЭнерго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800966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440242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10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