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1062222003491,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2222054530)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«АВМ 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1042201643252,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2204017285)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С-022-2204017285-08112010-741/2,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«АВМ 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1042201643252,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2204017285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1102225010986,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2221181366)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С-022-2221181366-01122010-754/3,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1102225010986,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2221181366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1106193004610,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6166075410)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С-061-6166075410-26112010-746/2,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1106193004610,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6166075410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«Гарант»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1055473055901,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5408234205)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С-054-5408234205-09042010-496/4,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«Гарант»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1055473055901,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5408234205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«Современные строительные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1083925013480,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3917501437)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С-039-3917501437-10092010-722/2,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«Современные строительные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1083925013480,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3917501437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«Дорожно-строительная компания «Волга»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1093460001007,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3445102002)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С-034-3445102002-20102010-739/3,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«Дорожно-строительная компания «Волга»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1093460001007,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3445102002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«Строительное управление - 1»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2224138792)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С-022-2224138792-29062011-836/2,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«Строительное управление - 1»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1102224000768,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2224138792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«Балтийский Строительный 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1089848013111,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7810534691)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С-098-7810534691-15122010-760/2,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«Балтийский Строительный 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1089848013111,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7810534691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«ЭнергоСтройТехнология»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1077847239612,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7813374799)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С-098-7813374799-27092010-731/2,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«ЭнергоСтройТехнология»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1077847239612,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7813374799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1115476039084,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5404434482)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С-054-5404434482-29062011-838/2,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1115476039084,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5404434482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«Пром-АЛЬЯНС»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С-047-4715017916-21012010-154/3,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«Пром-АЛЬЯНС»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