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«Железногорское управление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1032401227264,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2452027971)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«Ротонда»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1077847012561,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7813368900)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1083925012786,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3904601515)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1057812514143,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1089847051392,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7810505179)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«СтройСила»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1022300642088,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2302044544)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«Проектно-Строительная Компания ВИГ»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1089847205579,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7842385548)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1089847113135,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7811401655)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«Вентиляционные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1089847032626,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7839374433)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«Полет и 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1056758426372,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6729032192)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«Арбат. Инженерные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1073905007692,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3905081675)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«СТРОЙБАЗА»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1089847162085,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7816440305)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«Аверс-Строй»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1076673016947,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6673166321)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«Новые Технологии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5067847486328,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7811357519)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1047796098130,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7706524320)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«Объединенная Промышленная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1097847151324,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7811437531)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1069847551421,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7814361520)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«Лада»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1102225000701,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«Алтайгазаппарат»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1022201518019,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2224073168)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1072222001433,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2222063083)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«ДЕФТ»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1089848046860,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7802453520)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