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ртву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90800249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805174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абрика обоев «Прима Италия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9260269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9800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сеналСпец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730041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827911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Югэлектро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61740017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307267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43072678-25022010-371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Югэлектро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61740017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307267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нКом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11313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40165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1401655-18022010-348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нКом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11313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40165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РАНД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222300359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396874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3968744-18022010-345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РАНД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222300359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396874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алтТехКо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2562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47302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1473026-04022010-233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алтТехКом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2562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47302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Новые Технологии Строительств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506784748632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35751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1357519-18022010-334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Новые Технологии Строительств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506784748632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35751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