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Производственно-строительная компания «КАПИТАЛ»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1096183003388,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6150061229)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«БЭСР»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1042201979940,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2222047966)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«Контур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1092452000024,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2452036140)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1072343000740,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2343019240)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«Водоканал» города Новоалтайска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1022200769711,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2208001857)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1099847029589,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7813460159)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«ЛИСИ-строй»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1057810307334,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7810027243)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1073435008130,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3435090090)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«ЖелезоБетон»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1083925006802,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3917500754)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«РемСтройСервис»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1054700178830,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4704062385)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10.12.2012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