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«Юг-Стройпроект»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1076150005832,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6150050724)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1077847350041,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7814372346)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«ЭКСПОСТРОЙ»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1037800092670,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7801239403)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1097847171091,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7816466790)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С-098-7816466790-25112009-003/4,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1097847171091,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7816466790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«Водоканал Воронежа»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1033600002215,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3665034781)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С-036-3665034781-10092010-719/1,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города Воронежа «Водоканал Воронежа»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1033600002215,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3665034781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«ВИСТ»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1057812930163,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7810043630)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С-098-7810043630-14042010-518/2,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«ВИСТ»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1057812930163,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7810043630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«СТЕЛКОМ21»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С-047-4705047534-21122009-056/2,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«СТЕЛКОМ21»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«САЙГОН»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1077847323949,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7811372531)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С-098-7811372531-30112009-005/3,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«САЙГОН»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1077847323949,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7811372531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