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Ист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910010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50104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Гара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24030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536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ФЭР 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100102028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10012180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2001745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60305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ийская коммуникацион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8475102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3422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В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9061484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16229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 «Жилищно-коммунальное хозяйство Новосибирского научного центра Сибирского отделения Российской академии нау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40364768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818109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8181095-23062010-680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Государственное унитарное предприятие «Жилищно-коммунальное хозяйство Новосибирского научного центра Сибирского отделения Российской академии наук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540364768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818109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