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«Монтажстрой»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1096188001249,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6101922186)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«СеверСнабСтрой»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1081435582491,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1435209730)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«АгроСтройВолгоград»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1103443005490,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3443101490)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«БАЗИС»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1082224003487,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2224121823)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«Евроазия»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1082635004980,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2634080419)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«Легион»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1086150000496,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6150055930)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«Донпроектэлектро»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1026102223740,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6150010680)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«Большечапурниковское коммунальное хозяйство»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1083458001076,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3426012811)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«Визир»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1107746816539,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7724762937)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«СК Техстрой»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1107847005298,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7811453999)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29.06.2012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