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60/2012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июня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«Петроспектива»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1107847044337,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7806426862)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«Современные Строительные Технологии»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1127847245668,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7801573775)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«ВодоСтройПроект»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1127847245250,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7801573743)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«МБК-Строй»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1066164206790,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6164257711)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«ЦЕНТР СПЕЦИАЛЬНЫХ РЕШЕНИЙ»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1072225000275,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2225082574)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«ВолгоПромМонтаж»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1073444011200,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3444151800)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июня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