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6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ма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энерго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70167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05564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етри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16623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6757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хитектурная студия «АрхГрад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2612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5650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Группа Компаний «Технический Аудит и Управление Недвижимостью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340032549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1156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ма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