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5.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«ОКА»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1117847278834,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7802756281)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«Группа компаний «С-Дон-Юг»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1052309882350,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2317041730)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«БалтСтрой»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1047855148065,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7811309272)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«АБУЛ»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1037843051784,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7825003213)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СК «Петроград»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1079847060589,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7804354845)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ПСК «Монолит»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1095406035845,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5406551086)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26.03.2012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5.1.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фирма «ДомИнвестСтрой»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1076027010036,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6027108362)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С-060-6027108362-21012010-149/3,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«Строительная фирма «ДомИнвестСтрой»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1076027010036,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6027108362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«ЛИОН»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1077847400894,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7814374311)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С-098-7814374311-28012010-207/2,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«ЛИОН»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1077847400894,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7814374311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фирма «Телевидение, связь, 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1026102221672,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6150005136)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С-061-6150005136-28012010-214/2,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фирма «Телевидение, связь, 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1026102221672,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6150005136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«ЗЕЛЕНЫЕ ДОРОГИ»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1037825030352,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7811099265)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С-098-7811099265-01022010-223/3,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«ЗЕЛЕНЫЕ ДОРОГИ»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1037825030352,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7811099265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«Каскад-Строй»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1077847021251,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7839351725)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С-098-7839351725-04022010-258/2,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«Каскад-Строй»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1077847021251,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7839351725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«НикАС»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1047855157008,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7804308060)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С-098-7804308060-04022010-238/2,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«НикАС»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1047855157008,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7804308060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«БАЗИС»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1087847010426,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7841399996)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С-098-7841399996-08022010-260/2,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«БАЗИС»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1087847010426,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7841399996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