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Закрытое акционерное общество ПКФ «Кристалл»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1025401908784,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5405241469)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Строительная Компания «Глобус»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1112203001899,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2203000426)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1082221002137,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2221132087)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«СВИКС»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1037821045900,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7810282726)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