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февра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Управление механизированных работ-3-ТС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5900010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1934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50109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813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Электр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13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82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Объединенная Промышленная Групп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1513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3753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февра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