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«Энергетик»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1027809252173,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7825060282)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05.03.2025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марта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