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Донаэр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1587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02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МУ-Дон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171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8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Росстроймонтаж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340001155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43506097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4.05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5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