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октября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5 (Пять)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734D4E" w:rsidRPr="005F6E1E">
        <w:rPr>
          <w:sz w:val="22"/>
          <w:szCs w:val="22"/>
        </w:rPr>
        <w:t>Об исключении из членов Ассоциации</w:t>
      </w:r>
      <w:r w:rsidRPr="00B067AC">
        <w:rPr>
          <w:sz w:val="22"/>
          <w:szCs w:val="22"/>
        </w:rPr>
        <w:t>.</w:t>
      </w:r>
    </w:p>
    <w:p w14:paraId="12E773F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«СпецСтройСтандартРеконструкция»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1057812757958,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7807309368)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3.1.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«Спецсигнализация»</w:t>
      </w:r>
      <w:r w:rsidR="00734D4E" w:rsidRPr="00155989">
        <w:rPr>
          <w:sz w:val="22"/>
          <w:szCs w:val="22"/>
        </w:rPr>
        <w:t xml:space="preserve"> (ОГРН 1085407014098, ИНН 5407053848)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«Спецсигнализация»</w:t>
      </w:r>
      <w:r w:rsidR="00734D4E" w:rsidRPr="00A821BF">
        <w:rPr>
          <w:sz w:val="22"/>
          <w:szCs w:val="22"/>
        </w:rPr>
        <w:t xml:space="preserve"> (ОГРН 1085407014098, ИНН 5407053848)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октября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