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424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87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Донпроектэлект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3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0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100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Валда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783503159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619644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9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0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