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«ПК «Электромашина»</w:t>
      </w:r>
      <w:r w:rsidR="00B9210B" w:rsidRPr="00241327">
        <w:rPr>
          <w:sz w:val="22"/>
          <w:szCs w:val="22"/>
          <w:lang w:val="en-US"/>
        </w:rPr>
        <w:t xml:space="preserve"> (ОГРН 1177847410245,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7814716269)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«ПК «Электромашина»</w:t>
      </w:r>
      <w:r w:rsidRPr="00496A50">
        <w:rPr>
          <w:sz w:val="22"/>
          <w:szCs w:val="22"/>
        </w:rPr>
        <w:t xml:space="preserve"> (ОГРН 1177847410245,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7814716269)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