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4DD72551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Хайрулина Александра Жаксыбае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1554760000617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90742155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1.05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Посаженникова Максима Сергее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1554760008640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221246668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1.05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лектроИнжиниринг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547611201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75351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1.05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Э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540101246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133257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1.05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убаньстрой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232800002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28050172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1.05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оргово-промышленная фирма «Агр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230063046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203467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1.05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НБ-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222400105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3906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1.05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Надземное и подземное строительство. Калинингра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390099949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02541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6025419-25122009-096/7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Надземное и подземное строительство. Калининград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390099949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025419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Енисе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2021959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25402239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2-5254022399-02042010-478/4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Енисе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52021959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254022399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Котельный завод «Энергия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547600671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669740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133 от 23.05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Котельный завод «Энергия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547600671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669740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189 от 29.05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Котельный завод «Энерг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54760067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69740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КоммунСтрой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230200321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206532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179 от 29.05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КоммунСтрой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230200321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206532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179 от 29.05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КоммунСтрой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23020032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6532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