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феврал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Акционерного общества по строительству и реконструкции автомобильных дорог и аэродромов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31587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300206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К «Волгоград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5500172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0302784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ПИК-ГАЗ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44300464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10926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феврал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