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«МельСервис»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1157847013103,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7842020191)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1127847456550,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7816545467)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«АМТЭЛ»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1037800034777,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7801088899)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1065404083997,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5404275507)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«Логос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1133926023098,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3906297109)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1092302001934,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2302062060)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15.02.2017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