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15/2011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марта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«Партнер»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1106179000267,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6108007980)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«Техстрой»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1057811285575,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7816368271)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«Водоканал»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1072313000451,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2313022180)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Объединение «Комплексная автоматизация»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1047855153378,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7838310691)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«Волгоградпромстрой»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1053444068886,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3444123578)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«Конструктив»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1085401008990,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5401309187)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«Балтийская коммуникационная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1067847510246,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7813342250)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«Промагрегат»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1066150005460,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6150046870)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02 марта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