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Федерального государственного казенного учреждения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1027804847190,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7810248299)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«Ремстройпроект+»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1103443000407,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3443096191)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П-034-3443096191-17092010-271/3,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«Ремстройпроект+»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1103443000407,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3443096191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Муниципальным бюджетным учреждением «Центр капитального строительства»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1053905500703,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3911002657)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П-039-3911002657-18022010-123/5,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бюджетное учреждение «Центр капитального строительства»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1053905500703,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3911002657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«Мой город»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1067203329863,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7204101345)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П-072-7204101345-09022011-306/4,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