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5.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«КСК-СТРОЙ»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1157746855782,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7751010407)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1092221003181,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2221171671)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Федерального государственного казенного учреждения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1027804847190,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7810248299)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Муниципальным бюджетным учреждением «Центр капитального строительства»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1053905500703,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3911002657)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С-039-3911002657-21022011-787/3,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Муниципальное бюджетное учреждение «Центр капитального строительства»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1053905500703,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3911002657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«Агро-Сервис»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1095908000594,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5908043015)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С-059-5908043015-11022010-270/4,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«Агро-Сервис»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1095908000594,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5908043015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«Балтик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1047841012317,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7841013434)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С-098-7841013434-11022010-301/5,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«Балтик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1047841012317,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7841013434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«АРТЕМИДА-ДОН»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1026101926630,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6143043412)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С-061-6143043412-04032010-376/4,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«АРТЕМИДА-ДОН»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1026101926630,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6143043412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«АС-СТРОЙ»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1107847019895,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7841419970)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С-098-7841419970-22032010-435/3,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«АС-СТРОЙ»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1107847019895,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7841419970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«ТрансСтройРегион»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1115476133211,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5401351870)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С-054-5401351870-07122012-944/2,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«ТрансСтройРегион»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1115476133211,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5401351870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5.1.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«Импульс»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1026102196691,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6149001120)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С-061-6149001120-15032010-400/3,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