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66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72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нл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308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1020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-монтажное управление «Олимп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443017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2154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215405-16072014-1031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о-монтажное управление «Олимп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43443017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2154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те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7969174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25320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22532078-25122009-09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тер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7969174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25320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еникс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59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381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38165-26012011-77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еникс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596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381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БАЛ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4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21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22126-25122009-09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БАЛ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4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21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К «Жилстрой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760649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499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49960-06072012-91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К «Жилстройинве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54760649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499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иЮрС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7463694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45596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34559645-04022010-23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иЮрС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7463694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45596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аш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44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44303686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4-2443036867-24032010-44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аши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44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44303686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