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1133926046924,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3917519113)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«РегионСтройком»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1116193006819,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6166081069)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С-061-6166081069-16042012-898/1,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«РегионСтройком»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1116193006819,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6166081069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«ГидроСибАльянс»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1115476115083,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5406684400)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С-054-5406684400-25042012-902/1,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«ГидроСибАльянс»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1115476115083,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5406684400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1085402001783,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5402490971)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С-054-5402490971-26052010-628/3,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1085402001783,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5402490971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«ОБРАКС СБМ Групп»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5077746796860,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7718645255)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С-077-7718645255-06082010-683/2,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«ОБРАКС СБМ Групп»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5077746796860,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7718645255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«Высококачественные строительные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1107847181397,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7805523077)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С-098-7805523077-27082010-709/3,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«Высококачественные строительные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1107847181397,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7805523077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«АртЛэнд»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1076164012792,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6164269805)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С-061-6164269805-18082010-700/3,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«АртЛэнд»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1076164012792,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6164269805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«БАЗИС»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1082224003487,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2224121823)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С-022-2224121823-11102010-736/5,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«БАЗИС»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1082224003487,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2224121823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«СтройЭлектроСервис»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1082224011320,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2224128272)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С-022-2224128272-25082010-708/4,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«СтройЭлектроСервис»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1082224011320,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2224128272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