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«ПитерСтройМеталл»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1027804887220,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7810257670)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«СМУ-СПб»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1089847383780,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7839391615)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«СТЕЛКОМ21»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1094705003690,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4705047534)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«КГК-РЕСТАВРАЦИЯ»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1047855050605,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7820300798)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«АДС СОВБИ-Строй»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1089847182413,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7842384488)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«ТЕРМОИНЖСЕРВИС»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1035004902228,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5026009984)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1052202338176,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2225072738)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«СПК Аква-Вива»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1077847232605,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7804359963)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«Теплотехник»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1026000966144,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6027041943)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1032202181857,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2224083952)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«Строй-Центр»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1027807585915,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7814076107)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Компания «Скади»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1092223009944,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«АлтайСпецМонтаж»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1082222002411,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2222072031)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«УНР-345»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1077847184403,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7811369641)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«Финансово-строительная компания Омега»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1052202168138,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2224092234)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1099847009217,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7804427074)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«Производственное объединение «Управление строительными проектами»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1047803009792,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7802229398)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«НьюКом Групп»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1089847372185,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7841395423)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«ЖД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1077847048124,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7820309649)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