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1077847599917,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7816423814)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«СпецСтройСтандартРеконструкция»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1057812757958,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7807309368)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1079847121903,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7810498612)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«АльфаКон»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1097847206445,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7810560229)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