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1075404033540,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5404344912)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«Меркурьев и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1065917002469,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5917593209)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«ИСТА+»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1106193000649,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6161056887)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«Веспи»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1026102233926,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6150031633)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«Анкор»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1102628000012,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2628054435)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«Дренаж»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1023900554248,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3920004690)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«Архитектурно-строительный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1097847325399,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7806420927)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1046002001385,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6037000784)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«Межрегиональная Компания «Транстелесеть»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1042202261848,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2225062120)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«Диагональ»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1072222012543,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2222069198)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«Бургос»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5067847296127,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7805406359)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«Большечапурниковское коммунальное хозяйство»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1083458001076,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1022501913158,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2538069405)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1089848030909,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1097847325421,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7813457269)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1086027009034,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6027118233)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1086163003299,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6163092778)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1099847021097,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7838435789)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«Спецавтоматика-С»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7801483289)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«АРТЕМИДА-ДОН»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1026101926630,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6143043412)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