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Попова Геннадия Владимировича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304614515400033,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614510004764)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«Дельта»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1109847002209,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7811453050)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«Освейская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1077847413445,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7810476545)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«Сибирь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1077203040298,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7204112690)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1103454000473,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3428990990)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«Аверс»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1085402022727,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5402506068)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научно-техническое предприятие «Энергоконтроль»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1025801497710,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5838041477)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«Арена»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1067847425381,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7816384001)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«Идеал-Стандарт»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1107847296699,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7841432001)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«ТТДВ»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1072536011195,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2536191135)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304602506300062,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602501078128)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