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1107746171796,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7724739247)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«Исмаил»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1080411000141,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0411135300)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«Унимакс»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1062221040551,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2221116215)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«СибТехСервис-Новосибирск»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1065406157838,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5406363974)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«ВолгоСпецМонолит»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1103459000160,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3442107700)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«Всевлесстрой»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1034700557000,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4703062174)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«НОРТО»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1066150028559,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6150049768)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инженерно-строительная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1104704000224,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4704082832)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5067847173873,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7805403855)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«ЛЭК ИСТЕЙТ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1037811040904,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7805083355)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«ЖД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1077847048124,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7820309649)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«Седьмое СМУ»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1097847212330,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7810560902)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«Нева-Ресурс»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1037869000278,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7842000950)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«Тенгри»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1030400733747,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0411110673)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«Альянс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1092225007270,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2225106994)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