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12/2010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04 марта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«ЮгИнтерСервис»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1072302002244,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2302056035)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«ЭНЕРГЕТИЧЕСКИЕ МАШИНЫ»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1057810319511,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7810027437)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«Империя тепла, комфорта и уюта»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1095403012858,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5403234956)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«Гипропроект-Инжиниринг»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1087232017795,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7203215974)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«ФРАНЦ-А»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1027739397586,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7712110824)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«СпецПроектСервис»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1085543007109,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5505201501)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«РАМЭК-ЭКО»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1067847162173,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7802345027)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«ГлавСтрой»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1089848030909,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7814423181)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«Торгово-промышленная компания «Северная корона»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1027808749540,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7817024989)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Открытое акционерное общество «Ишимагрострой»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1027201238899,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7217000390)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«Конструктив»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1085401008990,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5401309187)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«Строительство и Архитектура»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1085406033877,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5406501504)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Закрытого акционерного общества «Сибирская перспектива»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1082221001477,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2221131446)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04 марта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