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104/2010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«ЭнергоПромСтрой»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1077758339724,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7714704830)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«Балтийский Строительный Альянс»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1089848013111,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7810534691)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«Визир»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1107746816539,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7724762937)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«СТРОЙПРАКТИКА»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1077762491982,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7724639813)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«Ситистрой»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1097232035922,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7202202852)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«БалтСтрой»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1047855148065,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7811309272)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«СтройМастер»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1097847171091,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7816466790)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«ГранитСтрой»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1089848045540,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7804404327)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«Стройинвесттехнологии»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1086163003299,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6163092778)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Строительная компания «ОПУС»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5067847123504,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7840342066)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«ЕВРОСТРОЙ»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1099847021097,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7838435789)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«АНКОНА»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1079847130285,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7804378331)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«СК Техстрой»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1107847005298,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7811453999)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«Строительная Компания «Универсал»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1095658003539,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5603033630)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«ТЭС»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1095401012464,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5401332570)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«Отопительные системы»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1093444007601,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3444174269)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«Южная строительная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1083435005763,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3435095740)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«ВДС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1083925010927,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3912500239)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«Водоканал»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1046121000155,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6121007322)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«Лира 2001»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1026102220308,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6150033246)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«Производственно-строительная фирма «Центр строительных компаний»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1027809207095,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7825450300)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«Фасадстрой»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1037811019091,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7805234702)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«Сибирь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1077203040298,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7204112690)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15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